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  <w:t>Convocatoria Dossier: Museos</w:t>
      </w:r>
      <w:r w:rsidRPr="00AF2634">
        <w:rPr>
          <w:rFonts w:asciiTheme="majorHAnsi" w:hAnsiTheme="majorHAnsi" w:cs="Arial"/>
          <w:color w:val="215868" w:themeColor="accent5" w:themeShade="80"/>
          <w:sz w:val="24"/>
          <w:u w:val="single"/>
        </w:rPr>
        <w:t xml:space="preserve"> híbridos, feministas, de</w:t>
      </w:r>
      <w:r w:rsidR="00B905D9" w:rsidRPr="00AF2634">
        <w:rPr>
          <w:rFonts w:asciiTheme="majorHAnsi" w:hAnsiTheme="majorHAnsi" w:cs="Arial"/>
          <w:color w:val="215868" w:themeColor="accent5" w:themeShade="80"/>
          <w:sz w:val="24"/>
          <w:u w:val="single"/>
        </w:rPr>
        <w:t>s</w:t>
      </w:r>
      <w:r w:rsidRPr="00AF2634">
        <w:rPr>
          <w:rFonts w:asciiTheme="majorHAnsi" w:hAnsiTheme="majorHAnsi" w:cs="Arial"/>
          <w:color w:val="215868" w:themeColor="accent5" w:themeShade="80"/>
          <w:sz w:val="24"/>
          <w:u w:val="single"/>
        </w:rPr>
        <w:t>colonizados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</w:pPr>
      <w:proofErr w:type="spellStart"/>
      <w:r w:rsidRPr="00AF2634"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  <w:t>Caiana</w:t>
      </w:r>
      <w:proofErr w:type="spellEnd"/>
      <w:r w:rsidRPr="00AF2634"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  <w:t xml:space="preserve"> </w:t>
      </w:r>
      <w:proofErr w:type="spellStart"/>
      <w:r w:rsidRPr="00AF2634"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  <w:t>n°</w:t>
      </w:r>
      <w:proofErr w:type="spellEnd"/>
      <w:r w:rsidRPr="00AF2634">
        <w:rPr>
          <w:rFonts w:asciiTheme="majorHAnsi" w:eastAsia="Arial Unicode MS" w:hAnsiTheme="majorHAnsi" w:cs="Arial Unicode MS"/>
          <w:color w:val="215868" w:themeColor="accent5" w:themeShade="80"/>
          <w:sz w:val="24"/>
          <w:u w:val="single"/>
        </w:rPr>
        <w:t xml:space="preserve"> 14, 1er semestre de 2019 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b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 xml:space="preserve">Coordinadoras 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b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>Gloria Cortés Aliaga (MNBA, Chile)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b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>Talía Bermejo</w:t>
      </w:r>
      <w:r w:rsidR="00D823AC"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>(</w:t>
      </w:r>
      <w:r w:rsidR="00D823AC"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>CONICET/UNTREF, Argentina</w:t>
      </w:r>
      <w:r w:rsidRPr="00AF2634">
        <w:rPr>
          <w:rFonts w:asciiTheme="majorHAnsi" w:eastAsia="Arial Unicode MS" w:hAnsiTheme="majorHAnsi" w:cs="Arial Unicode MS"/>
          <w:b/>
          <w:color w:val="215868" w:themeColor="accent5" w:themeShade="80"/>
        </w:rPr>
        <w:t>)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Desde la mercantilización de los espacios hasta la práctica curatorial como toma de posición, el museo se constituye en territorio</w:t>
      </w:r>
      <w:r w:rsidR="00D823AC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de debate en el que el mundo disciplinar-académico, la oleada neoliberal y las redes socio-comunitarias convergen en la definición variada y múltiple sobre su rol </w:t>
      </w:r>
      <w:r w:rsidR="006936D1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y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su pertinencia pública.</w:t>
      </w:r>
      <w:r w:rsidR="00B905D9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Cambiante, flexible, por momentos escurridizo, hoy en día el concepto de museo constituye un terreno de disputa sobre el que convergen miradas e intereses de los más diversos.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En los últimos años, </w:t>
      </w:r>
      <w:r w:rsidR="001B3786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se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h</w:t>
      </w:r>
      <w:r w:rsidR="001B3786" w:rsidRPr="00AF2634">
        <w:rPr>
          <w:rFonts w:asciiTheme="majorHAnsi" w:eastAsia="Arial Unicode MS" w:hAnsiTheme="majorHAnsi" w:cs="Arial Unicode MS"/>
          <w:color w:val="215868" w:themeColor="accent5" w:themeShade="80"/>
        </w:rPr>
        <w:t>a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visto resurgir la noción de museo-espectáculo en tanto éste puede</w:t>
      </w:r>
      <w:r w:rsidR="006936D1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transformarse en </w:t>
      </w:r>
      <w:r w:rsidR="00A73049" w:rsidRPr="00AF2634">
        <w:rPr>
          <w:rFonts w:asciiTheme="majorHAnsi" w:eastAsia="Arial Unicode MS" w:hAnsiTheme="majorHAnsi" w:cs="Arial Unicode MS"/>
          <w:color w:val="215868" w:themeColor="accent5" w:themeShade="80"/>
        </w:rPr>
        <w:t>un nuevo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lugar para la mercantilización de la cultura. Desde la tienda, donde la creatividad aplicada al </w:t>
      </w:r>
      <w:proofErr w:type="spellStart"/>
      <w:r w:rsidRPr="00AF2634">
        <w:rPr>
          <w:rFonts w:asciiTheme="majorHAnsi" w:eastAsia="Arial Unicode MS" w:hAnsiTheme="majorHAnsi" w:cs="Arial Unicode MS"/>
          <w:i/>
          <w:color w:val="215868" w:themeColor="accent5" w:themeShade="80"/>
        </w:rPr>
        <w:t>merchandising</w:t>
      </w:r>
      <w:proofErr w:type="spellEnd"/>
      <w:r w:rsidR="00D823AC" w:rsidRPr="00AF2634">
        <w:rPr>
          <w:rFonts w:asciiTheme="majorHAnsi" w:eastAsia="Arial Unicode MS" w:hAnsiTheme="majorHAnsi" w:cs="Arial Unicode MS"/>
          <w:i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reproduce obras de arte sobre los objetos más variados, hasta el alquiler de sus instalaciones para eventos privados o la filmación del último álbum de Beyoncé y Jay-Z en el Louvre que, al ritmo del hip hop, nos guía por las obras maestras del </w:t>
      </w:r>
      <w:r w:rsidRPr="00AF2634">
        <w:rPr>
          <w:rFonts w:asciiTheme="majorHAnsi" w:eastAsia="Arial Unicode MS" w:hAnsiTheme="majorHAnsi" w:cs="Arial Unicode MS"/>
          <w:i/>
          <w:color w:val="215868" w:themeColor="accent5" w:themeShade="80"/>
        </w:rPr>
        <w:t>mainstream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occidental al mismo tiempo que reivindica la cultura negra. Ante el retroceso en aquellos sitios donde el Estado </w:t>
      </w:r>
      <w:r w:rsidR="00A73049" w:rsidRPr="00AF2634">
        <w:rPr>
          <w:rFonts w:asciiTheme="majorHAnsi" w:eastAsia="Arial Unicode MS" w:hAnsiTheme="majorHAnsi" w:cs="Arial Unicode MS"/>
          <w:color w:val="215868" w:themeColor="accent5" w:themeShade="80"/>
        </w:rPr>
        <w:t>solía mostrar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una presencia significativa, como en los principales museos europeos, o la ausencia casi total de financiamiento público, en Estados Unidos por ejemplo, la taquilla no alcanza</w:t>
      </w:r>
      <w:r w:rsidR="006936D1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para solventar las necesidades del museo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>, con lo cual t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odo espacio resulta alquilable. En Latinoamérica, la falta de disponibilidad presupuestaria por parte de los gobiernos, o la inexistencia de voluntad política para solventar los museos, pareciera una parte constituyente de nuestra historia, precarizando no sólo el espacio y sus colecciones, sino también el ámbito laboral de quienes ejercen roles fund</w:t>
      </w:r>
      <w:r w:rsidR="00A73049" w:rsidRPr="00AF2634">
        <w:rPr>
          <w:rFonts w:asciiTheme="majorHAnsi" w:eastAsia="Arial Unicode MS" w:hAnsiTheme="majorHAnsi" w:cs="Arial Unicode MS"/>
          <w:color w:val="215868" w:themeColor="accent5" w:themeShade="80"/>
        </w:rPr>
        <w:t>amentales en las instituciones.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En el marco de la 13ª Bienal de Estambul </w:t>
      </w:r>
      <w:r w:rsidR="00D823AC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(2013)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la artista alemana Hito </w:t>
      </w:r>
      <w:proofErr w:type="spellStart"/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Steyerl</w:t>
      </w:r>
      <w:proofErr w:type="spellEnd"/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se pregu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>ntaba: ¿e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s el museo un campo de batalla?</w:t>
      </w:r>
      <w:r w:rsidR="00D823AC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La propuesta lleva a pensar las intervenciones realizadas por artistas en museos en tanto reenvíos hacia otras zonas de reflexión en torno a y sobre el museo mismo. Proponemos 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estudiar esas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acciones 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en su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capac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>idad para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reintroducir </w:t>
      </w:r>
      <w:r w:rsidR="005C4E7A" w:rsidRPr="00AF2634">
        <w:rPr>
          <w:rFonts w:asciiTheme="majorHAnsi" w:eastAsia="Arial Unicode MS" w:hAnsiTheme="majorHAnsi" w:cs="Arial Unicode MS"/>
          <w:color w:val="215868" w:themeColor="accent5" w:themeShade="80"/>
        </w:rPr>
        <w:t>el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lugar o rol social vinculado a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núcleos de conflictividad ajenos al terreno específico quebrando las distancias entre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institución, disciplina (la historia del arte, la museología, la curaduría, etc.) y vida cotidiana. En este sentido, cobran interés las prácticas que tienden a socavar los muros de la institución y la academia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propiciando otros recorridos, otras maneras de mirar, escuchar e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interpretar el arte.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Si el museo constituye un escenario sobre el que se dirimen luchas simbólicas, la curaduría contemporánea asume papeles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reveladores</w:t>
      </w:r>
      <w:r w:rsidR="00961603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de acuerdo a su potencia para subvertir el canon, introducir otros dispositivos de exhibición, agitar narrativas y provocar nuevos modos de agenciamiento. Vale destacar, en el extenso y nutrido panorama de los últimos años, el interés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lastRenderedPageBreak/>
        <w:t>reactualizado por la reflexión en torno a la temporalidad y</w:t>
      </w:r>
      <w:r w:rsidR="001F0711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el anacronismo inherente a las imágenes mediante cruces entre colecciones de arte contemporáneo, antiguo y moderno. También, el museo ha sido objeto de intervenciones dirigidas a cuestionar aquellas políticas que cristalizan una historia del arte escrita en nombre propio, es decir, a través de la presencia insoslayable del coleccionismo privado en la narrativa institucional.</w:t>
      </w:r>
      <w:r w:rsidR="00626A65"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Con todo, el museo mantiene, aun de manera problemática, </w:t>
      </w:r>
      <w:r w:rsidR="00B54B4B" w:rsidRPr="00AF2634">
        <w:rPr>
          <w:rFonts w:asciiTheme="majorHAnsi" w:eastAsia="Arial Unicode MS" w:hAnsiTheme="majorHAnsi" w:cs="Arial Unicode MS"/>
          <w:color w:val="215868" w:themeColor="accent5" w:themeShade="80"/>
        </w:rPr>
        <w:t>el poder de sancionar qué es y qué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 xml:space="preserve"> no es arte. </w:t>
      </w:r>
      <w:r w:rsidR="00B54B4B" w:rsidRPr="00AF2634">
        <w:rPr>
          <w:rFonts w:asciiTheme="majorHAnsi" w:eastAsia="Arial Unicode MS" w:hAnsiTheme="majorHAnsi" w:cs="Arial Unicode MS"/>
          <w:color w:val="215868" w:themeColor="accent5" w:themeShade="80"/>
        </w:rPr>
        <w:t>De esta manera, p</w:t>
      </w: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rovee ciertas condiciones de exhibición que impactan en los modos en que se percibe y experimenta la obra</w:t>
      </w:r>
      <w:r w:rsidR="00B54B4B" w:rsidRPr="00AF2634">
        <w:rPr>
          <w:rFonts w:asciiTheme="majorHAnsi" w:eastAsia="Arial Unicode MS" w:hAnsiTheme="majorHAnsi" w:cs="Arial Unicode MS"/>
          <w:color w:val="215868" w:themeColor="accent5" w:themeShade="80"/>
        </w:rPr>
        <w:t>.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  <w:r w:rsidRPr="00AF2634">
        <w:rPr>
          <w:rFonts w:asciiTheme="majorHAnsi" w:eastAsia="Arial Unicode MS" w:hAnsiTheme="majorHAnsi" w:cs="Arial Unicode MS"/>
          <w:color w:val="215868" w:themeColor="accent5" w:themeShade="80"/>
        </w:rPr>
        <w:t>En esta convocatoria, proponemos abordar los diferentes temas y problematizaciones que surgen del contexto actual y los diferentes modos de “hacer” museo. Invitamos a investigadores/as, curadores/as, trabajadores/as de museos a la presentación de casos y/o debates historiográficos que aborden los nuevos enfoques disciplinares; e</w:t>
      </w:r>
      <w:r w:rsidRPr="00AF2634">
        <w:rPr>
          <w:rFonts w:asciiTheme="majorHAnsi" w:hAnsiTheme="majorHAnsi" w:cs="Arial"/>
          <w:color w:val="215868" w:themeColor="accent5" w:themeShade="80"/>
        </w:rPr>
        <w:t>l planteamiento ético o el cometido museológico en contextos contemporáneos; la</w:t>
      </w:r>
      <w:r w:rsidR="00D823AC" w:rsidRPr="00AF2634">
        <w:rPr>
          <w:rFonts w:asciiTheme="majorHAnsi" w:hAnsiTheme="majorHAnsi" w:cs="Arial"/>
          <w:color w:val="215868" w:themeColor="accent5" w:themeShade="80"/>
        </w:rPr>
        <w:t xml:space="preserve"> </w:t>
      </w:r>
      <w:r w:rsidRPr="00AF2634">
        <w:rPr>
          <w:rFonts w:asciiTheme="majorHAnsi" w:hAnsiTheme="majorHAnsi" w:cs="Arial"/>
          <w:color w:val="215868" w:themeColor="accent5" w:themeShade="80"/>
        </w:rPr>
        <w:t xml:space="preserve">incorporación de aspectos intangibles en los modelos educativos; las propuestas curatoriales que </w:t>
      </w:r>
      <w:r w:rsidR="00F94BD6" w:rsidRPr="00AF2634">
        <w:rPr>
          <w:rFonts w:asciiTheme="majorHAnsi" w:hAnsiTheme="majorHAnsi" w:cs="Arial"/>
          <w:color w:val="215868" w:themeColor="accent5" w:themeShade="80"/>
        </w:rPr>
        <w:t xml:space="preserve">interpelan </w:t>
      </w:r>
      <w:r w:rsidRPr="00AF2634">
        <w:rPr>
          <w:rFonts w:asciiTheme="majorHAnsi" w:hAnsiTheme="majorHAnsi" w:cs="Arial"/>
          <w:color w:val="215868" w:themeColor="accent5" w:themeShade="80"/>
        </w:rPr>
        <w:t xml:space="preserve">al museo desde las disidencias, feminismos, migraciones, junto al giro afectivo, la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</w:rPr>
        <w:t>emocionalización</w:t>
      </w:r>
      <w:proofErr w:type="spellEnd"/>
      <w:r w:rsidRPr="00AF2634">
        <w:rPr>
          <w:rFonts w:asciiTheme="majorHAnsi" w:hAnsiTheme="majorHAnsi" w:cs="Arial"/>
          <w:color w:val="215868" w:themeColor="accent5" w:themeShade="80"/>
        </w:rPr>
        <w:t xml:space="preserve"> de la vida pública, el enfoque biográfico de los objetos como activadores de memoria; los museos en contextos de violencia y las nuevas propuestas de abordar las colecciones, sus nomenclaturas y las políticas que se generan en torno a ellas.</w:t>
      </w:r>
      <w:r w:rsidR="00D823AC" w:rsidRPr="00AF2634">
        <w:rPr>
          <w:rFonts w:asciiTheme="majorHAnsi" w:hAnsiTheme="majorHAnsi" w:cs="Arial"/>
          <w:color w:val="215868" w:themeColor="accent5" w:themeShade="80"/>
        </w:rPr>
        <w:t xml:space="preserve"> </w:t>
      </w:r>
      <w:r w:rsidR="00B26C30" w:rsidRPr="00AF2634">
        <w:rPr>
          <w:rFonts w:asciiTheme="majorHAnsi" w:hAnsiTheme="majorHAnsi" w:cs="Arial"/>
          <w:color w:val="215868" w:themeColor="accent5" w:themeShade="80"/>
        </w:rPr>
        <w:t>En suma, proponemos repensar los m</w:t>
      </w:r>
      <w:r w:rsidRPr="00AF2634">
        <w:rPr>
          <w:rFonts w:asciiTheme="majorHAnsi" w:hAnsiTheme="majorHAnsi" w:cs="Arial"/>
          <w:color w:val="215868" w:themeColor="accent5" w:themeShade="80"/>
        </w:rPr>
        <w:t>useos mestizos, híbridos, feministas, de</w:t>
      </w:r>
      <w:r w:rsidR="00F94BD6" w:rsidRPr="00AF2634">
        <w:rPr>
          <w:rFonts w:asciiTheme="majorHAnsi" w:hAnsiTheme="majorHAnsi" w:cs="Arial"/>
          <w:color w:val="215868" w:themeColor="accent5" w:themeShade="80"/>
        </w:rPr>
        <w:t>s</w:t>
      </w:r>
      <w:r w:rsidRPr="00AF2634">
        <w:rPr>
          <w:rFonts w:asciiTheme="majorHAnsi" w:hAnsiTheme="majorHAnsi" w:cs="Arial"/>
          <w:color w:val="215868" w:themeColor="accent5" w:themeShade="80"/>
        </w:rPr>
        <w:t xml:space="preserve">colonizados </w:t>
      </w:r>
      <w:r w:rsidR="00B26C30" w:rsidRPr="00AF2634">
        <w:rPr>
          <w:rFonts w:asciiTheme="majorHAnsi" w:hAnsiTheme="majorHAnsi" w:cs="Arial"/>
          <w:color w:val="215868" w:themeColor="accent5" w:themeShade="80"/>
        </w:rPr>
        <w:t xml:space="preserve">que </w:t>
      </w:r>
      <w:r w:rsidRPr="00AF2634">
        <w:rPr>
          <w:rFonts w:asciiTheme="majorHAnsi" w:hAnsiTheme="majorHAnsi" w:cs="Arial"/>
          <w:color w:val="215868" w:themeColor="accent5" w:themeShade="80"/>
        </w:rPr>
        <w:t xml:space="preserve">aparecen como alternativas al canon y a la hegemonía de los relatos curatoriales y museológicos, enfrentando desafíos no sólo con la comunidad que los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</w:rPr>
        <w:t>recepciona</w:t>
      </w:r>
      <w:proofErr w:type="spellEnd"/>
      <w:r w:rsidRPr="00AF2634">
        <w:rPr>
          <w:rFonts w:asciiTheme="majorHAnsi" w:hAnsiTheme="majorHAnsi" w:cs="Arial"/>
          <w:color w:val="215868" w:themeColor="accent5" w:themeShade="80"/>
        </w:rPr>
        <w:t>, sino también en las propias estructuras internas que dan cuerpo a la institución museo.</w:t>
      </w:r>
    </w:p>
    <w:p w:rsidR="00A22F4A" w:rsidRPr="00AF2634" w:rsidRDefault="00A22F4A" w:rsidP="00A22F4A">
      <w:pPr>
        <w:spacing w:after="0"/>
        <w:jc w:val="both"/>
        <w:rPr>
          <w:rFonts w:asciiTheme="majorHAnsi" w:eastAsia="Arial Unicode MS" w:hAnsiTheme="majorHAnsi" w:cs="Arial Unicode MS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  <w:r w:rsidRPr="00AF2634">
        <w:rPr>
          <w:rFonts w:asciiTheme="majorHAnsi" w:hAnsiTheme="majorHAnsi" w:cs="Arial"/>
          <w:color w:val="215868" w:themeColor="accent5" w:themeShade="80"/>
        </w:rPr>
        <w:t xml:space="preserve">La convocatoria para la presentación de artículos para este dossier estará abierta hasta </w:t>
      </w:r>
      <w:r w:rsidR="00162C32" w:rsidRPr="00AF2634">
        <w:rPr>
          <w:rFonts w:asciiTheme="majorHAnsi" w:hAnsiTheme="majorHAnsi" w:cs="Arial"/>
          <w:color w:val="215868" w:themeColor="accent5" w:themeShade="80"/>
        </w:rPr>
        <w:t xml:space="preserve">el </w:t>
      </w:r>
      <w:r w:rsidR="00162C32" w:rsidRPr="00AF2634">
        <w:rPr>
          <w:rFonts w:asciiTheme="majorHAnsi" w:hAnsiTheme="majorHAnsi" w:cs="Arial"/>
          <w:b/>
          <w:color w:val="215868" w:themeColor="accent5" w:themeShade="80"/>
        </w:rPr>
        <w:t>20 de diciembre de 2018</w:t>
      </w:r>
      <w:r w:rsidR="00162C32" w:rsidRPr="00AF2634">
        <w:rPr>
          <w:rFonts w:asciiTheme="majorHAnsi" w:hAnsiTheme="majorHAnsi" w:cs="Arial"/>
          <w:color w:val="215868" w:themeColor="accent5" w:themeShade="80"/>
        </w:rPr>
        <w:t>.</w:t>
      </w: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  <w:sz w:val="24"/>
        </w:rPr>
      </w:pPr>
      <w:r w:rsidRPr="00AF2634">
        <w:rPr>
          <w:rFonts w:asciiTheme="majorHAnsi" w:hAnsiTheme="majorHAnsi" w:cs="Arial"/>
          <w:color w:val="215868" w:themeColor="accent5" w:themeShade="80"/>
          <w:sz w:val="24"/>
        </w:rPr>
        <w:t xml:space="preserve">Les recordamos que la revista se encuentra indexada en el catálogo del sistema de información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  <w:sz w:val="24"/>
        </w:rPr>
        <w:t>Latindex</w:t>
      </w:r>
      <w:proofErr w:type="spellEnd"/>
      <w:r w:rsidRPr="00AF2634">
        <w:rPr>
          <w:rFonts w:asciiTheme="majorHAnsi" w:hAnsiTheme="majorHAnsi" w:cs="Arial"/>
          <w:color w:val="215868" w:themeColor="accent5" w:themeShade="80"/>
          <w:sz w:val="24"/>
        </w:rPr>
        <w:t xml:space="preserve"> y DOAJ (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  <w:sz w:val="24"/>
        </w:rPr>
        <w:t>Directory</w:t>
      </w:r>
      <w:proofErr w:type="spellEnd"/>
      <w:r w:rsidRPr="00AF2634">
        <w:rPr>
          <w:rFonts w:asciiTheme="majorHAnsi" w:hAnsiTheme="majorHAnsi" w:cs="Arial"/>
          <w:color w:val="215868" w:themeColor="accent5" w:themeShade="80"/>
          <w:sz w:val="24"/>
        </w:rPr>
        <w:t xml:space="preserve">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  <w:sz w:val="24"/>
        </w:rPr>
        <w:t>of</w:t>
      </w:r>
      <w:proofErr w:type="spellEnd"/>
      <w:r w:rsidRPr="00AF2634">
        <w:rPr>
          <w:rFonts w:asciiTheme="majorHAnsi" w:hAnsiTheme="majorHAnsi" w:cs="Arial"/>
          <w:color w:val="215868" w:themeColor="accent5" w:themeShade="80"/>
          <w:sz w:val="24"/>
        </w:rPr>
        <w:t xml:space="preserve"> Open Access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  <w:sz w:val="24"/>
        </w:rPr>
        <w:t>Journals</w:t>
      </w:r>
      <w:proofErr w:type="spellEnd"/>
      <w:r w:rsidRPr="00AF2634">
        <w:rPr>
          <w:rFonts w:asciiTheme="majorHAnsi" w:hAnsiTheme="majorHAnsi" w:cs="Arial"/>
          <w:color w:val="215868" w:themeColor="accent5" w:themeShade="80"/>
          <w:sz w:val="24"/>
        </w:rPr>
        <w:t>).</w:t>
      </w: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</w:p>
    <w:p w:rsidR="00A22F4A" w:rsidRPr="00AF2634" w:rsidRDefault="00162C32" w:rsidP="00A22F4A">
      <w:pPr>
        <w:spacing w:after="0"/>
        <w:jc w:val="both"/>
        <w:rPr>
          <w:rFonts w:asciiTheme="majorHAnsi" w:hAnsiTheme="majorHAnsi" w:cs="Arial"/>
          <w:b/>
          <w:color w:val="215868" w:themeColor="accent5" w:themeShade="80"/>
        </w:rPr>
      </w:pPr>
      <w:r w:rsidRPr="00AF2634">
        <w:rPr>
          <w:rFonts w:asciiTheme="majorHAnsi" w:hAnsiTheme="majorHAnsi" w:cs="Arial"/>
          <w:b/>
          <w:color w:val="215868" w:themeColor="accent5" w:themeShade="80"/>
        </w:rPr>
        <w:t xml:space="preserve">Para que el artículo sea considerado deberá ajustarse a las normas de edición de la revista. </w:t>
      </w:r>
      <w:r w:rsidR="00A22F4A" w:rsidRPr="00AF2634">
        <w:rPr>
          <w:rFonts w:asciiTheme="majorHAnsi" w:hAnsiTheme="majorHAnsi" w:cs="Arial"/>
          <w:b/>
          <w:color w:val="215868" w:themeColor="accent5" w:themeShade="80"/>
        </w:rPr>
        <w:t>Ver normas de publicación en:</w:t>
      </w: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b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b/>
          <w:color w:val="215868" w:themeColor="accent5" w:themeShade="80"/>
        </w:rPr>
      </w:pPr>
      <w:r w:rsidRPr="00AF2634">
        <w:rPr>
          <w:rFonts w:asciiTheme="majorHAnsi" w:hAnsiTheme="majorHAnsi" w:cs="Arial"/>
          <w:b/>
          <w:color w:val="215868" w:themeColor="accent5" w:themeShade="80"/>
        </w:rPr>
        <w:t>http://caiana.caia.org.ar/template/caiana.php?pag=../static/normas.php</w:t>
      </w: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  <w:r w:rsidRPr="00AF2634">
        <w:rPr>
          <w:rFonts w:asciiTheme="majorHAnsi" w:hAnsiTheme="majorHAnsi" w:cs="Arial"/>
          <w:color w:val="215868" w:themeColor="accent5" w:themeShade="80"/>
        </w:rPr>
        <w:t>E-mail: revistacaiana@gmail.com</w:t>
      </w:r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  <w:r w:rsidRPr="00AF2634">
        <w:rPr>
          <w:rFonts w:asciiTheme="majorHAnsi" w:hAnsiTheme="majorHAnsi" w:cs="Arial"/>
          <w:color w:val="215868" w:themeColor="accent5" w:themeShade="80"/>
        </w:rPr>
        <w:t xml:space="preserve">Facebook: </w:t>
      </w:r>
      <w:proofErr w:type="spellStart"/>
      <w:r w:rsidRPr="00AF2634">
        <w:rPr>
          <w:rFonts w:asciiTheme="majorHAnsi" w:hAnsiTheme="majorHAnsi" w:cs="Arial"/>
          <w:color w:val="215868" w:themeColor="accent5" w:themeShade="80"/>
        </w:rPr>
        <w:t>caianarevista</w:t>
      </w:r>
      <w:proofErr w:type="spellEnd"/>
    </w:p>
    <w:p w:rsidR="00A22F4A" w:rsidRPr="00AF2634" w:rsidRDefault="00A22F4A" w:rsidP="00A22F4A">
      <w:pPr>
        <w:spacing w:after="0"/>
        <w:jc w:val="both"/>
        <w:rPr>
          <w:rFonts w:asciiTheme="majorHAnsi" w:hAnsiTheme="majorHAnsi" w:cs="Arial"/>
          <w:color w:val="215868" w:themeColor="accent5" w:themeShade="80"/>
        </w:rPr>
      </w:pPr>
    </w:p>
    <w:p w:rsidR="000E1E0C" w:rsidRPr="00AF2634" w:rsidRDefault="00EB6B04">
      <w:pPr>
        <w:rPr>
          <w:color w:val="215868" w:themeColor="accent5" w:themeShade="80"/>
        </w:rPr>
      </w:pPr>
      <w:bookmarkStart w:id="0" w:name="_GoBack"/>
      <w:bookmarkEnd w:id="0"/>
    </w:p>
    <w:sectPr w:rsidR="000E1E0C" w:rsidRPr="00AF2634" w:rsidSect="0021624A">
      <w:footerReference w:type="default" r:id="rId6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04" w:rsidRDefault="00EB6B04" w:rsidP="008760FB">
      <w:pPr>
        <w:spacing w:after="0" w:line="240" w:lineRule="auto"/>
      </w:pPr>
      <w:r>
        <w:separator/>
      </w:r>
    </w:p>
  </w:endnote>
  <w:endnote w:type="continuationSeparator" w:id="0">
    <w:p w:rsidR="00EB6B04" w:rsidRDefault="00EB6B04" w:rsidP="0087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673446"/>
      <w:docPartObj>
        <w:docPartGallery w:val="Page Numbers (Bottom of Page)"/>
        <w:docPartUnique/>
      </w:docPartObj>
    </w:sdtPr>
    <w:sdtEndPr/>
    <w:sdtContent>
      <w:p w:rsidR="008D58A3" w:rsidRDefault="0003416D">
        <w:pPr>
          <w:pStyle w:val="Footer"/>
          <w:jc w:val="right"/>
        </w:pPr>
        <w:r>
          <w:fldChar w:fldCharType="begin"/>
        </w:r>
        <w:r w:rsidR="00A22F4A">
          <w:instrText xml:space="preserve"> PAGE   \* MERGEFORMAT </w:instrText>
        </w:r>
        <w:r>
          <w:fldChar w:fldCharType="separate"/>
        </w:r>
        <w:r w:rsidR="00162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8A3" w:rsidRDefault="00EB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04" w:rsidRDefault="00EB6B04" w:rsidP="008760FB">
      <w:pPr>
        <w:spacing w:after="0" w:line="240" w:lineRule="auto"/>
      </w:pPr>
      <w:r>
        <w:separator/>
      </w:r>
    </w:p>
  </w:footnote>
  <w:footnote w:type="continuationSeparator" w:id="0">
    <w:p w:rsidR="00EB6B04" w:rsidRDefault="00EB6B04" w:rsidP="0087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4A"/>
    <w:rsid w:val="0003416D"/>
    <w:rsid w:val="00162C32"/>
    <w:rsid w:val="001B3786"/>
    <w:rsid w:val="001F0711"/>
    <w:rsid w:val="00290C47"/>
    <w:rsid w:val="005739FD"/>
    <w:rsid w:val="005C4E7A"/>
    <w:rsid w:val="00626A65"/>
    <w:rsid w:val="006936D1"/>
    <w:rsid w:val="007F406A"/>
    <w:rsid w:val="00827021"/>
    <w:rsid w:val="0083342E"/>
    <w:rsid w:val="008760FB"/>
    <w:rsid w:val="00961603"/>
    <w:rsid w:val="00A22F4A"/>
    <w:rsid w:val="00A47454"/>
    <w:rsid w:val="00A73049"/>
    <w:rsid w:val="00AB4A2C"/>
    <w:rsid w:val="00AF2634"/>
    <w:rsid w:val="00B0597D"/>
    <w:rsid w:val="00B26C30"/>
    <w:rsid w:val="00B54B4B"/>
    <w:rsid w:val="00B905D9"/>
    <w:rsid w:val="00BE59BC"/>
    <w:rsid w:val="00CB6A39"/>
    <w:rsid w:val="00CE5D4D"/>
    <w:rsid w:val="00D823AC"/>
    <w:rsid w:val="00EB6B04"/>
    <w:rsid w:val="00F9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74BF31-2EA0-4889-A08A-B964630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F4A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4A"/>
    <w:rPr>
      <w:rFonts w:eastAsiaTheme="minorEastAsia"/>
      <w:lang w:eastAsia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A2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F4A"/>
    <w:rPr>
      <w:rFonts w:eastAsiaTheme="minorEastAsia"/>
      <w:sz w:val="20"/>
      <w:szCs w:val="20"/>
      <w:lang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4A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Cortés Aliaga</dc:creator>
  <cp:lastModifiedBy>pablo fasce</cp:lastModifiedBy>
  <cp:revision>4</cp:revision>
  <dcterms:created xsi:type="dcterms:W3CDTF">2018-07-13T11:19:00Z</dcterms:created>
  <dcterms:modified xsi:type="dcterms:W3CDTF">2018-07-19T14:43:00Z</dcterms:modified>
</cp:coreProperties>
</file>